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4A" w:rsidRPr="00EF634A" w:rsidRDefault="00EF634A" w:rsidP="00A102C4">
      <w:pPr>
        <w:ind w:left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F634A">
        <w:rPr>
          <w:rFonts w:ascii="Arial" w:eastAsia="Times New Roman" w:hAnsi="Arial" w:cs="Arial"/>
          <w:b/>
          <w:sz w:val="24"/>
          <w:szCs w:val="24"/>
          <w:lang w:eastAsia="pt-BR"/>
        </w:rPr>
        <w:t>MENSAGEM</w:t>
      </w: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EF634A" w:rsidRDefault="006D2873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EF634A">
        <w:rPr>
          <w:rFonts w:ascii="Arial" w:eastAsia="Times New Roman" w:hAnsi="Arial" w:cs="Arial"/>
          <w:sz w:val="24"/>
          <w:szCs w:val="24"/>
          <w:lang w:eastAsia="pt-BR"/>
        </w:rPr>
        <w:t>Senhores Vereadores e Vereadora,</w:t>
      </w:r>
    </w:p>
    <w:p w:rsidR="006D2873" w:rsidRPr="00EF634A" w:rsidRDefault="006D2873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EF634A" w:rsidRDefault="006D2873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EF634A" w:rsidRDefault="006D2873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24C4" w:rsidRPr="00EF634A" w:rsidRDefault="006D2873" w:rsidP="000524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EF634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524C4"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Sirvo-me do presente para apresentar ao soberano plenário desta Casa de Leis, projeto de lei que </w:t>
      </w:r>
      <w:r w:rsidR="008430DD" w:rsidRPr="00EF634A">
        <w:rPr>
          <w:rFonts w:ascii="Arial" w:eastAsia="Times New Roman" w:hAnsi="Arial" w:cs="Arial"/>
          <w:sz w:val="24"/>
          <w:szCs w:val="24"/>
          <w:lang w:eastAsia="pt-BR"/>
        </w:rPr>
        <w:t>institui normas para a deno</w:t>
      </w:r>
      <w:r w:rsidR="000524C4" w:rsidRPr="00EF634A">
        <w:rPr>
          <w:rFonts w:ascii="Arial" w:eastAsia="Times New Roman" w:hAnsi="Arial" w:cs="Arial"/>
          <w:sz w:val="24"/>
          <w:szCs w:val="24"/>
          <w:lang w:eastAsia="pt-BR"/>
        </w:rPr>
        <w:t>minação de logradouros, vias, próprios, monumentos públicos, núcleos urbanos e rurais, regiões administrativas e bairros, no âmbito deste município.</w:t>
      </w:r>
    </w:p>
    <w:p w:rsidR="000524C4" w:rsidRPr="00EF634A" w:rsidRDefault="000524C4" w:rsidP="00A102C4">
      <w:pPr>
        <w:ind w:left="0"/>
        <w:rPr>
          <w:rFonts w:ascii="Arial" w:hAnsi="Arial" w:cs="Arial"/>
          <w:sz w:val="24"/>
          <w:szCs w:val="24"/>
        </w:rPr>
      </w:pPr>
      <w:r w:rsidRPr="00EF634A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Pr="00EF634A">
        <w:rPr>
          <w:rFonts w:ascii="Arial" w:eastAsia="Times New Roman" w:hAnsi="Arial" w:cs="Arial"/>
          <w:sz w:val="24"/>
          <w:szCs w:val="24"/>
          <w:lang w:eastAsia="pt-BR"/>
        </w:rPr>
        <w:t>Vale</w:t>
      </w:r>
      <w:proofErr w:type="gramEnd"/>
      <w:r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 destacar que a Lei Orgânica Municipal, no inciso XII, do artigo 17</w:t>
      </w:r>
      <w:r w:rsidR="005D06CC"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, atribui a competência da Câmara Municipal para legislar, com a sanção do Prefeito, sobre </w:t>
      </w:r>
      <w:r w:rsidRPr="00EF634A">
        <w:rPr>
          <w:rFonts w:ascii="Arial" w:eastAsia="Calibri" w:hAnsi="Arial" w:cs="Arial"/>
          <w:sz w:val="24"/>
          <w:szCs w:val="24"/>
        </w:rPr>
        <w:t>delimitação do perímetro urbano e estabelecimento de normas urbanísticas, especialmente as relativas ao uso, ocupaçã</w:t>
      </w:r>
      <w:r w:rsidR="008430DD" w:rsidRPr="00EF634A">
        <w:rPr>
          <w:rFonts w:ascii="Arial" w:hAnsi="Arial" w:cs="Arial"/>
          <w:sz w:val="24"/>
          <w:szCs w:val="24"/>
        </w:rPr>
        <w:t>o e parcelamento do solo. Contudo devemos levar em consideração, em primeiro lugar o bem estar da população e o interesse público, quando atuamos em matérias que pode afetar diretamente o cidadão.</w:t>
      </w:r>
    </w:p>
    <w:p w:rsidR="00D74BE9" w:rsidRPr="00EF634A" w:rsidRDefault="008430DD" w:rsidP="00A102C4">
      <w:pPr>
        <w:ind w:left="0"/>
        <w:rPr>
          <w:rFonts w:ascii="Arial" w:hAnsi="Arial" w:cs="Arial"/>
          <w:sz w:val="24"/>
          <w:szCs w:val="24"/>
        </w:rPr>
      </w:pPr>
      <w:r w:rsidRPr="00EF634A">
        <w:rPr>
          <w:rFonts w:ascii="Arial" w:hAnsi="Arial" w:cs="Arial"/>
          <w:sz w:val="24"/>
          <w:szCs w:val="24"/>
        </w:rPr>
        <w:tab/>
        <w:t xml:space="preserve">Note que ao longo das legislaturas, já foram mudados vários nomes de ruas e, na maioria das vezes, nem sequer o cidadão ficou sabendo </w:t>
      </w:r>
      <w:r w:rsidR="00F252DD" w:rsidRPr="00EF634A">
        <w:rPr>
          <w:rFonts w:ascii="Arial" w:hAnsi="Arial" w:cs="Arial"/>
          <w:sz w:val="24"/>
          <w:szCs w:val="24"/>
        </w:rPr>
        <w:t>da nova denominação</w:t>
      </w:r>
      <w:r w:rsidRPr="00EF634A">
        <w:rPr>
          <w:rFonts w:ascii="Arial" w:hAnsi="Arial" w:cs="Arial"/>
          <w:sz w:val="24"/>
          <w:szCs w:val="24"/>
        </w:rPr>
        <w:t>. Daí eu pergunto aos nobres colegas, será que modificar a denominação de um logradouro público, não afeta diretamente o cidadão? Evidente que causa transtornos</w:t>
      </w:r>
      <w:proofErr w:type="gramStart"/>
      <w:r w:rsidRPr="00EF634A">
        <w:rPr>
          <w:rFonts w:ascii="Arial" w:hAnsi="Arial" w:cs="Arial"/>
          <w:sz w:val="24"/>
          <w:szCs w:val="24"/>
        </w:rPr>
        <w:t>, basta</w:t>
      </w:r>
      <w:proofErr w:type="gramEnd"/>
      <w:r w:rsidRPr="00EF634A">
        <w:rPr>
          <w:rFonts w:ascii="Arial" w:hAnsi="Arial" w:cs="Arial"/>
          <w:sz w:val="24"/>
          <w:szCs w:val="24"/>
        </w:rPr>
        <w:t xml:space="preserve"> ver que todos os afetados pela nova denominação deverão alterar cadastros bancários,</w:t>
      </w:r>
      <w:r w:rsidR="00D74BE9" w:rsidRPr="00EF634A">
        <w:rPr>
          <w:rFonts w:ascii="Arial" w:hAnsi="Arial" w:cs="Arial"/>
          <w:sz w:val="24"/>
          <w:szCs w:val="24"/>
        </w:rPr>
        <w:t xml:space="preserve"> endereço de sites de internet, dados de operadores de telefonia, receita federal e comunicações com parentes residentes em outras regiões. </w:t>
      </w:r>
    </w:p>
    <w:p w:rsidR="00D74BE9" w:rsidRPr="00EF634A" w:rsidRDefault="00D74BE9" w:rsidP="00D74BE9">
      <w:pPr>
        <w:ind w:left="0" w:firstLine="708"/>
        <w:rPr>
          <w:rFonts w:ascii="Arial" w:hAnsi="Arial" w:cs="Arial"/>
          <w:sz w:val="24"/>
          <w:szCs w:val="24"/>
        </w:rPr>
      </w:pPr>
      <w:r w:rsidRPr="00EF634A">
        <w:rPr>
          <w:rFonts w:ascii="Arial" w:hAnsi="Arial" w:cs="Arial"/>
          <w:sz w:val="24"/>
          <w:szCs w:val="24"/>
        </w:rPr>
        <w:t xml:space="preserve">Veja que não é tão simples como se parece, a comunicação de que o nome da via foi mudada não se limita apenas ao correio, porque para o envio das correspondências, boletos bancários, duplicatas, cartões, compras na internet e </w:t>
      </w:r>
      <w:proofErr w:type="spellStart"/>
      <w:r w:rsidRPr="00EF634A">
        <w:rPr>
          <w:rFonts w:ascii="Arial" w:hAnsi="Arial" w:cs="Arial"/>
          <w:sz w:val="24"/>
          <w:szCs w:val="24"/>
        </w:rPr>
        <w:t>etc</w:t>
      </w:r>
      <w:proofErr w:type="spellEnd"/>
      <w:r w:rsidRPr="00EF634A">
        <w:rPr>
          <w:rFonts w:ascii="Arial" w:hAnsi="Arial" w:cs="Arial"/>
          <w:sz w:val="24"/>
          <w:szCs w:val="24"/>
        </w:rPr>
        <w:t>, dependem do cidadão se mobilizar para informar todos os seus contatos pessoais e comerciais.</w:t>
      </w:r>
    </w:p>
    <w:p w:rsidR="00D74BE9" w:rsidRPr="00EF634A" w:rsidRDefault="00D74BE9" w:rsidP="00D74BE9">
      <w:pPr>
        <w:ind w:left="0" w:firstLine="708"/>
        <w:rPr>
          <w:rFonts w:ascii="Arial" w:hAnsi="Arial" w:cs="Arial"/>
          <w:sz w:val="24"/>
          <w:szCs w:val="24"/>
        </w:rPr>
      </w:pPr>
      <w:r w:rsidRPr="00EF634A">
        <w:rPr>
          <w:rFonts w:ascii="Arial" w:hAnsi="Arial" w:cs="Arial"/>
          <w:sz w:val="24"/>
          <w:szCs w:val="24"/>
        </w:rPr>
        <w:t>Mesmo tendo a competência outorgado pela população, pondero que o ideal para a atuação do Vereador, nesta área e organização urbana, faz necessário implementar algumas normas e exigir a participação do cidadão em situação que afetem o seu cotidiano.</w:t>
      </w:r>
    </w:p>
    <w:p w:rsidR="00FC088E" w:rsidRPr="00EF634A" w:rsidRDefault="00D74BE9" w:rsidP="00D74BE9">
      <w:pPr>
        <w:ind w:left="0" w:firstLine="708"/>
        <w:rPr>
          <w:rFonts w:ascii="Arial" w:hAnsi="Arial" w:cs="Arial"/>
          <w:sz w:val="24"/>
          <w:szCs w:val="24"/>
        </w:rPr>
      </w:pPr>
      <w:r w:rsidRPr="00EF634A">
        <w:rPr>
          <w:rFonts w:ascii="Arial" w:hAnsi="Arial" w:cs="Arial"/>
          <w:sz w:val="24"/>
          <w:szCs w:val="24"/>
        </w:rPr>
        <w:t xml:space="preserve">Outro ponto importante desta lei é a regulamentação do artigo 207 da Lei Orgânica </w:t>
      </w:r>
      <w:proofErr w:type="spellStart"/>
      <w:r w:rsidRPr="00EF634A">
        <w:rPr>
          <w:rFonts w:ascii="Arial" w:hAnsi="Arial" w:cs="Arial"/>
          <w:sz w:val="24"/>
          <w:szCs w:val="24"/>
        </w:rPr>
        <w:t>Municipal-LOM</w:t>
      </w:r>
      <w:proofErr w:type="spellEnd"/>
      <w:r w:rsidRPr="00EF634A">
        <w:rPr>
          <w:rFonts w:ascii="Arial" w:hAnsi="Arial" w:cs="Arial"/>
          <w:sz w:val="24"/>
          <w:szCs w:val="24"/>
        </w:rPr>
        <w:t xml:space="preserve">, </w:t>
      </w:r>
      <w:r w:rsidR="00C26F2A" w:rsidRPr="00EF634A">
        <w:rPr>
          <w:rFonts w:ascii="Arial" w:hAnsi="Arial" w:cs="Arial"/>
          <w:sz w:val="24"/>
          <w:szCs w:val="24"/>
        </w:rPr>
        <w:t>o qual veta</w:t>
      </w:r>
      <w:r w:rsidRPr="00EF634A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EF634A">
        <w:rPr>
          <w:rFonts w:ascii="Arial" w:eastAsia="Calibri" w:hAnsi="Arial" w:cs="Arial"/>
          <w:sz w:val="24"/>
          <w:szCs w:val="24"/>
        </w:rPr>
        <w:t>nome</w:t>
      </w:r>
      <w:r w:rsidR="00C26F2A" w:rsidRPr="00EF634A">
        <w:rPr>
          <w:rFonts w:ascii="Arial" w:hAnsi="Arial" w:cs="Arial"/>
          <w:sz w:val="24"/>
          <w:szCs w:val="24"/>
        </w:rPr>
        <w:t>s</w:t>
      </w:r>
      <w:r w:rsidRPr="00EF634A">
        <w:rPr>
          <w:rFonts w:ascii="Arial" w:eastAsia="Calibri" w:hAnsi="Arial" w:cs="Arial"/>
          <w:sz w:val="24"/>
          <w:szCs w:val="24"/>
        </w:rPr>
        <w:t xml:space="preserve"> de pessoas vivas </w:t>
      </w:r>
      <w:r w:rsidR="00C26F2A" w:rsidRPr="00EF634A">
        <w:rPr>
          <w:rFonts w:ascii="Arial" w:hAnsi="Arial" w:cs="Arial"/>
          <w:sz w:val="24"/>
          <w:szCs w:val="24"/>
        </w:rPr>
        <w:t>em</w:t>
      </w:r>
      <w:r w:rsidRPr="00EF634A">
        <w:rPr>
          <w:rFonts w:ascii="Arial" w:eastAsia="Calibri" w:hAnsi="Arial" w:cs="Arial"/>
          <w:sz w:val="24"/>
          <w:szCs w:val="24"/>
        </w:rPr>
        <w:t xml:space="preserve"> bens e serviços públicos de qualquer natureza</w:t>
      </w:r>
      <w:r w:rsidR="00334B5E" w:rsidRPr="00EF634A">
        <w:rPr>
          <w:rFonts w:ascii="Arial" w:hAnsi="Arial" w:cs="Arial"/>
          <w:sz w:val="24"/>
          <w:szCs w:val="24"/>
        </w:rPr>
        <w:t>, a qua</w:t>
      </w:r>
      <w:r w:rsidR="00D743DD" w:rsidRPr="00EF634A">
        <w:rPr>
          <w:rFonts w:ascii="Arial" w:hAnsi="Arial" w:cs="Arial"/>
          <w:sz w:val="24"/>
          <w:szCs w:val="24"/>
        </w:rPr>
        <w:t xml:space="preserve">l tem sido desrespeitada com frequência por falta de uma </w:t>
      </w:r>
      <w:r w:rsidR="00334B5E" w:rsidRPr="00EF634A">
        <w:rPr>
          <w:rFonts w:ascii="Arial" w:hAnsi="Arial" w:cs="Arial"/>
          <w:sz w:val="24"/>
          <w:szCs w:val="24"/>
        </w:rPr>
        <w:t>regulamentação que imponha penalidade</w:t>
      </w:r>
      <w:r w:rsidR="00D743DD" w:rsidRPr="00EF634A">
        <w:rPr>
          <w:rFonts w:ascii="Arial" w:hAnsi="Arial" w:cs="Arial"/>
          <w:sz w:val="24"/>
          <w:szCs w:val="24"/>
        </w:rPr>
        <w:t xml:space="preserve">s aos </w:t>
      </w:r>
      <w:r w:rsidR="00FC088E" w:rsidRPr="00EF634A">
        <w:rPr>
          <w:rFonts w:ascii="Arial" w:hAnsi="Arial" w:cs="Arial"/>
          <w:sz w:val="24"/>
          <w:szCs w:val="24"/>
        </w:rPr>
        <w:t>agentes políticos.</w:t>
      </w:r>
    </w:p>
    <w:p w:rsidR="00BF5049" w:rsidRPr="00EF634A" w:rsidRDefault="00FC088E" w:rsidP="00FC088E">
      <w:pPr>
        <w:ind w:left="0" w:firstLine="737"/>
        <w:rPr>
          <w:rFonts w:ascii="Arial" w:hAnsi="Arial" w:cs="Arial"/>
          <w:sz w:val="24"/>
          <w:szCs w:val="24"/>
        </w:rPr>
      </w:pPr>
      <w:proofErr w:type="gramStart"/>
      <w:r w:rsidRPr="00EF634A">
        <w:rPr>
          <w:rFonts w:ascii="Arial" w:hAnsi="Arial" w:cs="Arial"/>
          <w:sz w:val="24"/>
          <w:szCs w:val="24"/>
        </w:rPr>
        <w:lastRenderedPageBreak/>
        <w:t xml:space="preserve">Não basta, também, que o homenageado seja pessoa falecida, é preciso entender que tal honraria não deve ser concedida apenas porque o homenageado </w:t>
      </w:r>
      <w:r w:rsidR="00EF634A">
        <w:rPr>
          <w:rFonts w:ascii="Arial" w:hAnsi="Arial" w:cs="Arial"/>
          <w:sz w:val="24"/>
          <w:szCs w:val="24"/>
        </w:rPr>
        <w:t>tenha</w:t>
      </w:r>
      <w:r w:rsidRPr="00EF634A">
        <w:rPr>
          <w:rFonts w:ascii="Arial" w:hAnsi="Arial" w:cs="Arial"/>
          <w:sz w:val="24"/>
          <w:szCs w:val="24"/>
        </w:rPr>
        <w:t xml:space="preserve"> laços de amizade ou parentesco com o agente político autor da propositura, </w:t>
      </w:r>
      <w:r w:rsidR="002B72DA" w:rsidRPr="00EF634A">
        <w:rPr>
          <w:rFonts w:ascii="Arial" w:hAnsi="Arial" w:cs="Arial"/>
          <w:sz w:val="24"/>
          <w:szCs w:val="24"/>
        </w:rPr>
        <w:t xml:space="preserve">há de </w:t>
      </w:r>
      <w:r w:rsidR="00EF634A">
        <w:rPr>
          <w:rFonts w:ascii="Arial" w:hAnsi="Arial" w:cs="Arial"/>
          <w:sz w:val="24"/>
          <w:szCs w:val="24"/>
        </w:rPr>
        <w:t xml:space="preserve">se </w:t>
      </w:r>
      <w:r w:rsidR="002B72DA" w:rsidRPr="00EF634A">
        <w:rPr>
          <w:rFonts w:ascii="Arial" w:hAnsi="Arial" w:cs="Arial"/>
          <w:sz w:val="24"/>
          <w:szCs w:val="24"/>
        </w:rPr>
        <w:t xml:space="preserve">ter </w:t>
      </w:r>
      <w:r w:rsidR="00BF5049" w:rsidRPr="00EF634A">
        <w:rPr>
          <w:rFonts w:ascii="Arial" w:hAnsi="Arial" w:cs="Arial"/>
          <w:sz w:val="24"/>
          <w:szCs w:val="24"/>
        </w:rPr>
        <w:t xml:space="preserve">obrigatoriamente </w:t>
      </w:r>
      <w:r w:rsidR="002B72DA" w:rsidRPr="00EF634A">
        <w:rPr>
          <w:rFonts w:ascii="Arial" w:hAnsi="Arial" w:cs="Arial"/>
          <w:sz w:val="24"/>
          <w:szCs w:val="24"/>
        </w:rPr>
        <w:t xml:space="preserve">um trabalho prestado à sociedade </w:t>
      </w:r>
      <w:r w:rsidR="00EF634A">
        <w:rPr>
          <w:rFonts w:ascii="Arial" w:hAnsi="Arial" w:cs="Arial"/>
          <w:sz w:val="24"/>
          <w:szCs w:val="24"/>
        </w:rPr>
        <w:t xml:space="preserve">ourilandense </w:t>
      </w:r>
      <w:r w:rsidR="002B72DA" w:rsidRPr="00EF634A">
        <w:rPr>
          <w:rFonts w:ascii="Arial" w:hAnsi="Arial" w:cs="Arial"/>
          <w:sz w:val="24"/>
          <w:szCs w:val="24"/>
        </w:rPr>
        <w:t>e por ela se</w:t>
      </w:r>
      <w:r w:rsidR="00EF634A">
        <w:rPr>
          <w:rFonts w:ascii="Arial" w:hAnsi="Arial" w:cs="Arial"/>
          <w:sz w:val="24"/>
          <w:szCs w:val="24"/>
        </w:rPr>
        <w:t>ja</w:t>
      </w:r>
      <w:r w:rsidR="002B72DA" w:rsidRPr="00EF634A">
        <w:rPr>
          <w:rFonts w:ascii="Arial" w:hAnsi="Arial" w:cs="Arial"/>
          <w:sz w:val="24"/>
          <w:szCs w:val="24"/>
        </w:rPr>
        <w:t xml:space="preserve"> reconhecido, pois ao contrário </w:t>
      </w:r>
      <w:r w:rsidR="00EF634A">
        <w:rPr>
          <w:rFonts w:ascii="Arial" w:hAnsi="Arial" w:cs="Arial"/>
          <w:sz w:val="24"/>
          <w:szCs w:val="24"/>
        </w:rPr>
        <w:t>mais parece à</w:t>
      </w:r>
      <w:r w:rsidR="00BF5049" w:rsidRPr="00EF634A">
        <w:rPr>
          <w:rFonts w:ascii="Arial" w:hAnsi="Arial" w:cs="Arial"/>
          <w:sz w:val="24"/>
          <w:szCs w:val="24"/>
        </w:rPr>
        <w:t xml:space="preserve"> utilização do cargo em beneficio próprio ou de outrem.</w:t>
      </w:r>
      <w:proofErr w:type="gramEnd"/>
    </w:p>
    <w:p w:rsidR="00E93AB5" w:rsidRPr="00EF634A" w:rsidRDefault="00E93AB5" w:rsidP="00FC088E">
      <w:pPr>
        <w:ind w:left="0" w:firstLine="737"/>
        <w:rPr>
          <w:rFonts w:ascii="Arial" w:hAnsi="Arial" w:cs="Arial"/>
          <w:sz w:val="24"/>
          <w:szCs w:val="24"/>
        </w:rPr>
      </w:pPr>
      <w:r w:rsidRPr="00EF634A">
        <w:rPr>
          <w:rFonts w:ascii="Arial" w:hAnsi="Arial" w:cs="Arial"/>
          <w:sz w:val="24"/>
          <w:szCs w:val="24"/>
        </w:rPr>
        <w:t>Diante de tantas controvérsias, entendo que o projeto de lei que</w:t>
      </w:r>
      <w:r w:rsidR="00336756" w:rsidRPr="00EF634A">
        <w:rPr>
          <w:rFonts w:ascii="Arial" w:hAnsi="Arial" w:cs="Arial"/>
          <w:sz w:val="24"/>
          <w:szCs w:val="24"/>
        </w:rPr>
        <w:t xml:space="preserve"> estamos apresentando ao soberano plenário será de extrema importância para disciplinar </w:t>
      </w:r>
      <w:proofErr w:type="gramStart"/>
      <w:r w:rsidR="00336756" w:rsidRPr="00EF634A">
        <w:rPr>
          <w:rFonts w:ascii="Arial" w:hAnsi="Arial" w:cs="Arial"/>
          <w:sz w:val="24"/>
          <w:szCs w:val="24"/>
        </w:rPr>
        <w:t>a</w:t>
      </w:r>
      <w:proofErr w:type="gramEnd"/>
      <w:r w:rsidR="00336756" w:rsidRPr="00EF634A">
        <w:rPr>
          <w:rFonts w:ascii="Arial" w:hAnsi="Arial" w:cs="Arial"/>
          <w:sz w:val="24"/>
          <w:szCs w:val="24"/>
        </w:rPr>
        <w:t xml:space="preserve"> denominação e alteração de nomes de logradouros públicos</w:t>
      </w:r>
      <w:r w:rsidR="00692F73" w:rsidRPr="00EF634A">
        <w:rPr>
          <w:rFonts w:ascii="Arial" w:hAnsi="Arial" w:cs="Arial"/>
          <w:sz w:val="24"/>
          <w:szCs w:val="24"/>
        </w:rPr>
        <w:t>, por isso espero contar com o apoio dos nobres colegas.</w:t>
      </w:r>
      <w:r w:rsidR="00336756" w:rsidRPr="00EF634A">
        <w:rPr>
          <w:rFonts w:ascii="Arial" w:hAnsi="Arial" w:cs="Arial"/>
          <w:sz w:val="24"/>
          <w:szCs w:val="24"/>
        </w:rPr>
        <w:t xml:space="preserve"> </w:t>
      </w:r>
    </w:p>
    <w:p w:rsidR="008430DD" w:rsidRPr="00EF634A" w:rsidRDefault="00BF5049" w:rsidP="00FC088E">
      <w:pPr>
        <w:ind w:left="0" w:firstLine="737"/>
        <w:rPr>
          <w:rFonts w:ascii="Arial" w:eastAsia="Times New Roman" w:hAnsi="Arial" w:cs="Arial"/>
          <w:sz w:val="24"/>
          <w:szCs w:val="24"/>
          <w:lang w:eastAsia="pt-BR"/>
        </w:rPr>
      </w:pPr>
      <w:r w:rsidRPr="00EF634A">
        <w:rPr>
          <w:rFonts w:ascii="Arial" w:hAnsi="Arial" w:cs="Arial"/>
          <w:sz w:val="24"/>
          <w:szCs w:val="24"/>
        </w:rPr>
        <w:t xml:space="preserve">  </w:t>
      </w:r>
      <w:r w:rsidR="00334B5E" w:rsidRPr="00EF634A">
        <w:rPr>
          <w:rFonts w:ascii="Arial" w:hAnsi="Arial" w:cs="Arial"/>
          <w:sz w:val="24"/>
          <w:szCs w:val="24"/>
        </w:rPr>
        <w:t xml:space="preserve"> </w:t>
      </w:r>
      <w:r w:rsidR="00D74BE9" w:rsidRPr="00EF634A">
        <w:rPr>
          <w:rFonts w:ascii="Arial" w:hAnsi="Arial" w:cs="Arial"/>
          <w:sz w:val="24"/>
          <w:szCs w:val="24"/>
        </w:rPr>
        <w:t xml:space="preserve">  </w:t>
      </w:r>
      <w:r w:rsidR="008430DD" w:rsidRPr="00EF634A">
        <w:rPr>
          <w:rFonts w:ascii="Arial" w:hAnsi="Arial" w:cs="Arial"/>
          <w:sz w:val="24"/>
          <w:szCs w:val="24"/>
        </w:rPr>
        <w:t xml:space="preserve"> </w:t>
      </w:r>
    </w:p>
    <w:p w:rsidR="005D06CC" w:rsidRPr="00EF634A" w:rsidRDefault="00524AF6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EF634A">
        <w:rPr>
          <w:rFonts w:ascii="Arial" w:eastAsia="Times New Roman" w:hAnsi="Arial" w:cs="Arial"/>
          <w:sz w:val="24"/>
          <w:szCs w:val="24"/>
          <w:lang w:eastAsia="pt-BR"/>
        </w:rPr>
        <w:tab/>
        <w:t>Gabinete do Vereador Walto San</w:t>
      </w:r>
      <w:r w:rsidR="0076113A" w:rsidRPr="00EF634A">
        <w:rPr>
          <w:rFonts w:ascii="Arial" w:eastAsia="Times New Roman" w:hAnsi="Arial" w:cs="Arial"/>
          <w:sz w:val="24"/>
          <w:szCs w:val="24"/>
          <w:lang w:eastAsia="pt-BR"/>
        </w:rPr>
        <w:t>tos Cunha</w:t>
      </w:r>
      <w:r w:rsidR="00652505"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, em 13 de agosto de </w:t>
      </w:r>
      <w:proofErr w:type="gramStart"/>
      <w:r w:rsidR="00652505" w:rsidRPr="00EF634A">
        <w:rPr>
          <w:rFonts w:ascii="Arial" w:eastAsia="Times New Roman" w:hAnsi="Arial" w:cs="Arial"/>
          <w:sz w:val="24"/>
          <w:szCs w:val="24"/>
          <w:lang w:eastAsia="pt-BR"/>
        </w:rPr>
        <w:t>2013</w:t>
      </w:r>
      <w:proofErr w:type="gramEnd"/>
    </w:p>
    <w:p w:rsidR="00EF634A" w:rsidRPr="006D2873" w:rsidRDefault="00EF634A" w:rsidP="00EF634A">
      <w:pPr>
        <w:rPr>
          <w:rFonts w:ascii="Arial" w:hAnsi="Arial" w:cs="Arial"/>
          <w:sz w:val="24"/>
          <w:szCs w:val="24"/>
        </w:rPr>
      </w:pPr>
    </w:p>
    <w:p w:rsidR="00EF634A" w:rsidRPr="006D2873" w:rsidRDefault="00EF634A" w:rsidP="00EF634A">
      <w:pPr>
        <w:jc w:val="center"/>
        <w:rPr>
          <w:rFonts w:ascii="Arial" w:hAnsi="Arial" w:cs="Arial"/>
          <w:sz w:val="24"/>
          <w:szCs w:val="24"/>
        </w:rPr>
      </w:pPr>
    </w:p>
    <w:p w:rsidR="00EF634A" w:rsidRPr="006D2873" w:rsidRDefault="00EF634A" w:rsidP="00EF634A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_____________________________</w:t>
      </w:r>
    </w:p>
    <w:p w:rsidR="00EF634A" w:rsidRPr="006D2873" w:rsidRDefault="00EF634A" w:rsidP="00EF634A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Walto Santos Cunha</w:t>
      </w:r>
    </w:p>
    <w:p w:rsidR="00EF634A" w:rsidRPr="006D2873" w:rsidRDefault="00EF634A" w:rsidP="00EF634A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Vereador - PMDB</w:t>
      </w:r>
    </w:p>
    <w:p w:rsidR="005D06CC" w:rsidRDefault="005D06CC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06CC" w:rsidRDefault="005D06CC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34A" w:rsidRDefault="00EF634A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6D2873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Projeto de Lei nº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>___________/2013</w:t>
      </w:r>
    </w:p>
    <w:p w:rsidR="00A102C4" w:rsidRPr="00A102C4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6D2873" w:rsidRDefault="008430DD" w:rsidP="00EF634A">
      <w:pPr>
        <w:ind w:left="354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Institui</w:t>
      </w:r>
      <w:r w:rsidR="005D06CC">
        <w:rPr>
          <w:rFonts w:ascii="Arial" w:eastAsia="Times New Roman" w:hAnsi="Arial" w:cs="Arial"/>
          <w:sz w:val="24"/>
          <w:szCs w:val="24"/>
          <w:lang w:eastAsia="pt-BR"/>
        </w:rPr>
        <w:t xml:space="preserve"> normas para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a denominação de logradouros, vias, próprios, monumentos públicos, núcleos urbanos e rurais, regiões administrativas e bairros, no âmbito deste município.</w:t>
      </w:r>
    </w:p>
    <w:p w:rsidR="00A102C4" w:rsidRPr="006D2873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A102C4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6D2873" w:rsidRDefault="00A102C4" w:rsidP="00EF634A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O Prefeito Municipal de Ourilândia do Norte, Estado do Pará, usando de suas atribuições legais, faz saber que 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a Câmara Municipal a provou e Eu sanciono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 seguinte Lei:</w:t>
      </w:r>
    </w:p>
    <w:p w:rsidR="00A102C4" w:rsidRPr="006D2873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1º.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Os logradouros, vias, próprios, monumentos públicos, núcleos urbanos 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rurais, regiões administrativas, bairros e bens da administração municipal direta e indireta,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inclusive empresas públicas, podem receber denominação de pessoas, datas,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números, letras,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acidentes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geográficos, fatos históricos e outros reconhecidos pela sociedade 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>ourilandense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634A" w:rsidRPr="006D2873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>º.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Ficam vedados na denominação dos bens públicos municipais de que trata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esta lei: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 – o uso do nome de pessoas vivas;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 – palavras e nomes em língua estrangeira, exceto quando se tratar de nomes próprios de pessoas;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III – nomes diversos daqueles já consagrados tradicionalmente;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IV – nomes ambíguos ou que possam expor ao ridículo os moradores vizinhos ou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usuários do bem público;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V – nomes já utilizados na denominação de outro logradouro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via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>, próprio ou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monumento municipal.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§1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É também vedada a inscrição dos nomes de autoridades ou administradores em placas indicadores de obras ou em veículo de propriedade ou a serviço da Administração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Pública direta ou indireta.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§2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As proibições constantes desta Lei são aplicáveis às entidades que, a qualquer título, recebam subvenção ou auxílio dos cofres públicos municipais.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3º. A designação ou alteração de nomes d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Avenidas, Praças, Ruas 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Logradouros Públicos será feita mediante: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 – decreto do Executivo, usando-se somente de letras ou de números, para o primeiro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nome a ser dado ao logradouro público;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 – lei municipal, quando:</w:t>
      </w:r>
    </w:p>
    <w:p w:rsidR="006846D1" w:rsidRPr="006D2873" w:rsidRDefault="00A102C4" w:rsidP="006846D1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nome do logradouro público a ser alterado for letra ou número;</w:t>
      </w:r>
    </w:p>
    <w:p w:rsidR="006846D1" w:rsidRPr="006D2873" w:rsidRDefault="00A102C4" w:rsidP="006846D1">
      <w:pPr>
        <w:pStyle w:val="PargrafodaLista"/>
        <w:numPr>
          <w:ilvl w:val="0"/>
          <w:numId w:val="1"/>
        </w:num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não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se usar letra ou número, para o primeiro nome a ser dado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ao logradouro público;</w:t>
      </w:r>
    </w:p>
    <w:p w:rsidR="006846D1" w:rsidRPr="006D2873" w:rsidRDefault="006846D1" w:rsidP="006846D1">
      <w:pPr>
        <w:ind w:left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6D2873" w:rsidRDefault="00A102C4" w:rsidP="00EF634A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 Serão preservados os nomes tradicionais de vias públicas,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cursos d'água, bairros, regiões.</w:t>
      </w:r>
    </w:p>
    <w:p w:rsidR="006846D1" w:rsidRPr="006D2873" w:rsidRDefault="006846D1" w:rsidP="006846D1">
      <w:pPr>
        <w:ind w:left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Parágrafo único – Os nomes tradicionais já substituídos deverão ser recuperados ou,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sendo isto impossível, deverão ser registrados e aceitos como segunda denominação.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F634A" w:rsidRPr="006D2873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5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Na atribuição do nome de pessoas observar-se-á o seguinte: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 – somente serão usados nomes de pessoas falecidas;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 – pessoas que tenham, comprovadamente, prestado relevantes serviços à cidade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>Ourilândia do Norte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nas áreas da cultura, educação, artes, política, filantropia e outros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ou que tenham participado de fatos relevantes da história do Município ou de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acontecimentos cívicos e culturais;</w:t>
      </w:r>
    </w:p>
    <w:p w:rsidR="006846D1" w:rsidRPr="006D2873" w:rsidRDefault="006846D1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III. 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que não tenham antecedentes criminais.</w:t>
      </w:r>
    </w:p>
    <w:p w:rsidR="006846D1" w:rsidRPr="006D2873" w:rsidRDefault="006846D1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6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As referências a datas, acidentes geográficos, fatos históricas e similares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devem ter relação direta com a evolução e desenvolvimento da Cidade.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7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Na escolha de nomes próprios para estabelecimentos de ensino, bibliotecas,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museus, conservatórios e outros bens de natureza cultural, artística ou educacional serão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observadas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as seguintes regras complementares: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 – utilizar-se-ão, preferencialmente, nomes de educadores cujas vidas tenham se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vinculado à comunidade em que se localiza o estabelecimento;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 – poderá ser homenageada personalidade que, não tendo sido educador, tenha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desenvolvido atividades de apoio ou estímulo à educação, às artes, à cultura e à ciência.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8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Os projetos de lei sobre mudanças de nomes de logradouros, vias, próprios,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monumentos públicos, núcleos urbanos e rurais, regiões administrativas e bairros, de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iniciativa parlamentar ou quando encaminhados pelo Executivo, serão instruídos com os</w:t>
      </w:r>
      <w:r w:rsidR="002D2DC8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seguintes documentos:</w:t>
      </w:r>
    </w:p>
    <w:p w:rsidR="006846D1" w:rsidRPr="00EF634A" w:rsidRDefault="00A102C4" w:rsidP="00EF634A">
      <w:pPr>
        <w:pStyle w:val="PargrafodaLista"/>
        <w:numPr>
          <w:ilvl w:val="0"/>
          <w:numId w:val="2"/>
        </w:num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F634A">
        <w:rPr>
          <w:rFonts w:ascii="Arial" w:eastAsia="Times New Roman" w:hAnsi="Arial" w:cs="Arial"/>
          <w:sz w:val="24"/>
          <w:szCs w:val="24"/>
          <w:lang w:eastAsia="pt-BR"/>
        </w:rPr>
        <w:t>abaixo</w:t>
      </w:r>
      <w:proofErr w:type="gramEnd"/>
      <w:r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 assinado dos moradores do logradouro público que se pret</w:t>
      </w:r>
      <w:r w:rsidR="006846D1" w:rsidRPr="00EF634A">
        <w:rPr>
          <w:rFonts w:ascii="Arial" w:eastAsia="Times New Roman" w:hAnsi="Arial" w:cs="Arial"/>
          <w:sz w:val="24"/>
          <w:szCs w:val="24"/>
          <w:lang w:eastAsia="pt-BR"/>
        </w:rPr>
        <w:t>end</w:t>
      </w:r>
      <w:r w:rsidRPr="00EF634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F63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F634A">
        <w:rPr>
          <w:rFonts w:ascii="Arial" w:eastAsia="Times New Roman" w:hAnsi="Arial" w:cs="Arial"/>
          <w:sz w:val="24"/>
          <w:szCs w:val="24"/>
          <w:lang w:eastAsia="pt-BR"/>
        </w:rPr>
        <w:t>alterar a denominação, com nomes legíveis, números das carteiras de identidade e números</w:t>
      </w:r>
      <w:r w:rsidR="006846D1" w:rsidRPr="00EF63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F634A">
        <w:rPr>
          <w:rFonts w:ascii="Arial" w:eastAsia="Times New Roman" w:hAnsi="Arial" w:cs="Arial"/>
          <w:sz w:val="24"/>
          <w:szCs w:val="24"/>
          <w:lang w:eastAsia="pt-BR"/>
        </w:rPr>
        <w:t>das residências dos signatários, se for o caso;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II-</w:t>
      </w:r>
      <w:r w:rsidR="00EF63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certidão do setor de cadastro da Prefeitura Municipal, dando conta de que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não existe outro logradouro público com o nome proposto;</w:t>
      </w:r>
    </w:p>
    <w:p w:rsidR="00EF634A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III</w:t>
      </w:r>
      <w:proofErr w:type="spell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EF63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curriculum</w:t>
      </w:r>
      <w:proofErr w:type="spell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vitae</w:t>
      </w:r>
      <w:proofErr w:type="spell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do cidadão que emprestará seu nome ao logradouro público.</w:t>
      </w:r>
    </w:p>
    <w:p w:rsidR="00EF634A" w:rsidRDefault="00EF634A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46D1" w:rsidRPr="006D2873" w:rsidRDefault="002D2DC8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. Exceto quando o nome for composto apenas de letras, numerais ou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letras e numerais, a alteração do nome fica condicionada à realização de audiência pública prévia envolvendo: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846D1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 – toda a população do município, quando se tratar de bem situado em área</w:t>
      </w:r>
      <w:r w:rsidR="006846D1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tombada;</w:t>
      </w:r>
    </w:p>
    <w:p w:rsidR="002D2DC8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 – a população do bairro, região, distrito ou povoado em que se situar o bem,</w:t>
      </w:r>
      <w:r w:rsidR="002D2DC8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situado fora de área de tombamento;</w:t>
      </w:r>
      <w:r w:rsidR="002D2DC8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D2DC8" w:rsidRPr="006D2873" w:rsidRDefault="00A102C4" w:rsidP="006846D1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III – os moradores do logradouro cujo nome deva ser mudado.</w:t>
      </w:r>
    </w:p>
    <w:p w:rsidR="002D2DC8" w:rsidRPr="006D2873" w:rsidRDefault="002D2DC8" w:rsidP="002D2DC8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2DC8" w:rsidRDefault="002D2DC8" w:rsidP="002D2DC8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§2º.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O ato convocatório será publicado pelo menos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vez no Diário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Oficial do Município ou em jornal de grande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circulação regional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, com intervalo mínimo de quinze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dias, sendo também obrigatoriamente </w:t>
      </w:r>
      <w:proofErr w:type="gramStart"/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divulgado nos sítios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de Internet do Poder Executivo,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da Câmara Legislativa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e no logradouro que será alterada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 denominação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, com antecedência mínima de trinta dias da data da realização da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audiência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ou da coleta de assinaturas do abaixo-assinado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F634A" w:rsidRPr="006D2873" w:rsidRDefault="00EF634A" w:rsidP="002D2DC8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Default="002D2DC8" w:rsidP="002D2DC8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§3º.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A alteração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sua aprovação depen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derá da anuência da maioria dos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presentes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audiência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pública ou da maioria de assinaturas dos moradores da rua ou avenida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634A" w:rsidRPr="00A102C4" w:rsidRDefault="00EF634A" w:rsidP="002D2DC8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9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 Os nomes em desacordo com esta Lei deverão ser corrigidos no prazo de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um ano a contar da data da sua publicação, podendo a iniciativa caber ao Chefe do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Executivo, a qualquer vereador, aos órgãos municipais de proteção ao patrimônio histórico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ou às comunidades afetadas pela mudança, representadas estas pelo mínimo de cem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assinaturas de eleitores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do município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634A" w:rsidRDefault="00EF634A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. A infração ao disposto nesta Lei acarretará aos responsáveis </w:t>
      </w:r>
      <w:proofErr w:type="gramStart"/>
      <w:r w:rsidRPr="006D287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perda do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cargo ou função pública que exercerem, e, no caso de entidades beneficiadas, a suspensão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da subvenção ou auxílio.</w:t>
      </w:r>
    </w:p>
    <w:p w:rsidR="00EF634A" w:rsidRDefault="00EF634A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Poder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Executivo dará conhecimento aos órgãos, entidades e empresas que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tenham necessidades de contatos periódicos com o público em geral, especialmente nas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áreas de telefonia, água e esgoto, energia elétrica e cooperativismo, sobre as novas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denominações e alterações processadas nos nomes dos logradouros públicos, até 30 (trinta)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dias após a ocorrência da mudança.</w:t>
      </w:r>
    </w:p>
    <w:p w:rsidR="00EF634A" w:rsidRDefault="00EF634A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 O logradouro público não poderá receber uma denominação já existente em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outro local, mesmo no caso de serem utilizados nomes ou alcunhas diferentes pelos quais 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homenageado era identificado ou conhecido.</w:t>
      </w:r>
    </w:p>
    <w:p w:rsidR="00EF634A" w:rsidRDefault="00EF634A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Poder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Executivo promoverá a colocação de placas de identificação em todos os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logradouros públicos, podendo para tanto valer-se do patrocínio de empresas, pessoas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físicas e outras organizações, desde que sejam padronizadas as dimensões, o material usado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na confecção e as inscrições a serem nelas inseridas.</w:t>
      </w:r>
    </w:p>
    <w:p w:rsidR="00EF634A" w:rsidRDefault="00EF634A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. Esta Lei entra em vigor na data de sua publicação.</w:t>
      </w:r>
    </w:p>
    <w:p w:rsidR="006D2873" w:rsidRPr="006D2873" w:rsidRDefault="00A102C4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Art. 1</w:t>
      </w:r>
      <w:r w:rsidR="006D2873" w:rsidRPr="006D2873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F634A" w:rsidRPr="006D2873">
        <w:rPr>
          <w:rFonts w:ascii="Arial" w:eastAsia="Times New Roman" w:hAnsi="Arial" w:cs="Arial"/>
          <w:sz w:val="24"/>
          <w:szCs w:val="24"/>
          <w:lang w:eastAsia="pt-BR"/>
        </w:rPr>
        <w:t>Revogam-se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as disposições em contrário.</w:t>
      </w:r>
    </w:p>
    <w:p w:rsidR="006D2873" w:rsidRPr="006D2873" w:rsidRDefault="006D2873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2C4" w:rsidRPr="006D2873" w:rsidRDefault="006D2873" w:rsidP="006D2873">
      <w:pPr>
        <w:ind w:left="0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6D2873">
        <w:rPr>
          <w:rFonts w:ascii="Arial" w:eastAsia="Times New Roman" w:hAnsi="Arial" w:cs="Arial"/>
          <w:sz w:val="24"/>
          <w:szCs w:val="24"/>
          <w:lang w:eastAsia="pt-BR"/>
        </w:rPr>
        <w:t>Câmara Municipal de Ourilândia do Norte-Pará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EF634A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de agosto de</w:t>
      </w:r>
      <w:r w:rsidR="00A102C4" w:rsidRPr="006D28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D2873">
        <w:rPr>
          <w:rFonts w:ascii="Arial" w:eastAsia="Times New Roman" w:hAnsi="Arial" w:cs="Arial"/>
          <w:sz w:val="24"/>
          <w:szCs w:val="24"/>
          <w:lang w:eastAsia="pt-BR"/>
        </w:rPr>
        <w:t>agosto de 2013.</w:t>
      </w:r>
    </w:p>
    <w:p w:rsidR="00A102C4" w:rsidRPr="00A102C4" w:rsidRDefault="00A102C4" w:rsidP="00A102C4">
      <w:pPr>
        <w:ind w:left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4C16" w:rsidRPr="006D2873" w:rsidRDefault="00794C16" w:rsidP="00A102C4">
      <w:pPr>
        <w:rPr>
          <w:rFonts w:ascii="Arial" w:hAnsi="Arial" w:cs="Arial"/>
          <w:sz w:val="24"/>
          <w:szCs w:val="24"/>
        </w:rPr>
      </w:pPr>
    </w:p>
    <w:p w:rsidR="006D2873" w:rsidRPr="006D2873" w:rsidRDefault="006D2873" w:rsidP="006D2873">
      <w:pPr>
        <w:jc w:val="center"/>
        <w:rPr>
          <w:rFonts w:ascii="Arial" w:hAnsi="Arial" w:cs="Arial"/>
          <w:sz w:val="24"/>
          <w:szCs w:val="24"/>
        </w:rPr>
      </w:pPr>
    </w:p>
    <w:p w:rsidR="006D2873" w:rsidRPr="006D2873" w:rsidRDefault="006D2873" w:rsidP="006D2873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_____________________________</w:t>
      </w:r>
    </w:p>
    <w:p w:rsidR="006D2873" w:rsidRPr="006D2873" w:rsidRDefault="006D2873" w:rsidP="006D2873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Walto Santos Cunha</w:t>
      </w:r>
    </w:p>
    <w:p w:rsidR="006D2873" w:rsidRPr="006D2873" w:rsidRDefault="006D2873" w:rsidP="006D2873">
      <w:pPr>
        <w:jc w:val="center"/>
        <w:rPr>
          <w:rFonts w:ascii="Arial" w:hAnsi="Arial" w:cs="Arial"/>
          <w:sz w:val="24"/>
          <w:szCs w:val="24"/>
        </w:rPr>
      </w:pPr>
      <w:r w:rsidRPr="006D2873">
        <w:rPr>
          <w:rFonts w:ascii="Arial" w:hAnsi="Arial" w:cs="Arial"/>
          <w:sz w:val="24"/>
          <w:szCs w:val="24"/>
        </w:rPr>
        <w:t>Vereador - PMDB</w:t>
      </w:r>
    </w:p>
    <w:sectPr w:rsidR="006D2873" w:rsidRPr="006D2873" w:rsidSect="00EF634A">
      <w:headerReference w:type="default" r:id="rId7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AB" w:rsidRDefault="00506BAB" w:rsidP="00EF634A">
      <w:r>
        <w:separator/>
      </w:r>
    </w:p>
  </w:endnote>
  <w:endnote w:type="continuationSeparator" w:id="0">
    <w:p w:rsidR="00506BAB" w:rsidRDefault="00506BAB" w:rsidP="00EF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AB" w:rsidRDefault="00506BAB" w:rsidP="00EF634A">
      <w:r>
        <w:separator/>
      </w:r>
    </w:p>
  </w:footnote>
  <w:footnote w:type="continuationSeparator" w:id="0">
    <w:p w:rsidR="00506BAB" w:rsidRDefault="00506BAB" w:rsidP="00EF6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4A" w:rsidRDefault="00EF634A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35pt;height:43.85pt" o:ole="">
          <v:imagedata r:id="rId1" o:title=""/>
        </v:shape>
        <o:OLEObject Type="Embed" ProgID="PBrush" ShapeID="_x0000_i1025" DrawAspect="Content" ObjectID="_1437978156" r:id="rId2"/>
      </w:object>
    </w:r>
  </w:p>
  <w:p w:rsidR="00EF634A" w:rsidRDefault="00EF634A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EF634A" w:rsidRDefault="00EF634A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</w:t>
    </w:r>
    <w:proofErr w:type="gramStart"/>
    <w:r>
      <w:rPr>
        <w:rFonts w:ascii="Aardvark" w:hAnsi="Aardvark"/>
        <w:b/>
      </w:rPr>
      <w:t xml:space="preserve">  </w:t>
    </w:r>
    <w:proofErr w:type="gramEnd"/>
    <w:r>
      <w:rPr>
        <w:rFonts w:ascii="Aardvark" w:hAnsi="Aardvark"/>
        <w:b/>
      </w:rPr>
      <w:t>MUNICIPAL DE OURILÂNDIA DO NORTE</w:t>
    </w:r>
  </w:p>
  <w:p w:rsidR="00EF634A" w:rsidRPr="006042ED" w:rsidRDefault="00EF634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EF634A" w:rsidRPr="006042ED" w:rsidRDefault="00EF634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proofErr w:type="gramStart"/>
    <w:r w:rsidRPr="006042ED">
      <w:rPr>
        <w:rFonts w:ascii="Aardvark" w:hAnsi="Aardvark"/>
        <w:b/>
        <w:sz w:val="18"/>
        <w:szCs w:val="18"/>
      </w:rPr>
      <w:t>Av.</w:t>
    </w:r>
    <w:proofErr w:type="gramEnd"/>
    <w:r w:rsidRPr="006042ED">
      <w:rPr>
        <w:rFonts w:ascii="Aardvark" w:hAnsi="Aardvark"/>
        <w:b/>
        <w:sz w:val="18"/>
        <w:szCs w:val="18"/>
      </w:rPr>
      <w:t xml:space="preserve">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EF634A" w:rsidRPr="006042ED" w:rsidRDefault="00EF634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EF634A" w:rsidRPr="006042ED" w:rsidRDefault="00EF634A" w:rsidP="005441AA">
    <w:pPr>
      <w:pStyle w:val="SemEspaamento"/>
      <w:jc w:val="center"/>
      <w:rPr>
        <w:sz w:val="18"/>
        <w:szCs w:val="18"/>
      </w:rPr>
    </w:pPr>
    <w:r w:rsidRPr="00C57C5D">
      <w:rPr>
        <w:rFonts w:ascii="Aardvark" w:hAnsi="Aardvark"/>
        <w:sz w:val="18"/>
        <w:szCs w:val="18"/>
        <w:lang w:val="en-US"/>
      </w:rPr>
      <w:pict>
        <v:line id="_x0000_s3073" style="position:absolute;left:0;text-align:left;z-index:251660288" from="9pt,1.4pt" to="433.85pt,1.45pt" strokeweight=".25pt">
          <v:stroke startarrowwidth="narrow" startarrowlength="short" endarrowwidth="narrow" endarrowlength="short"/>
        </v:line>
      </w:pict>
    </w:r>
  </w:p>
  <w:p w:rsidR="00EF634A" w:rsidRPr="006042ED" w:rsidRDefault="00EF634A" w:rsidP="005441AA">
    <w:pPr>
      <w:pStyle w:val="SemEspaamento"/>
      <w:jc w:val="center"/>
      <w:rPr>
        <w:sz w:val="18"/>
        <w:szCs w:val="18"/>
      </w:rPr>
    </w:pPr>
  </w:p>
  <w:p w:rsidR="00EF634A" w:rsidRDefault="00EF63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BB3"/>
    <w:multiLevelType w:val="hybridMultilevel"/>
    <w:tmpl w:val="551A5B92"/>
    <w:lvl w:ilvl="0" w:tplc="5CA2456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0A35EB"/>
    <w:multiLevelType w:val="hybridMultilevel"/>
    <w:tmpl w:val="D66C9354"/>
    <w:lvl w:ilvl="0" w:tplc="60D08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102C4"/>
    <w:rsid w:val="000524C4"/>
    <w:rsid w:val="001552CA"/>
    <w:rsid w:val="001A269C"/>
    <w:rsid w:val="0025296C"/>
    <w:rsid w:val="002B72DA"/>
    <w:rsid w:val="002D2DC8"/>
    <w:rsid w:val="002E374F"/>
    <w:rsid w:val="00334B5E"/>
    <w:rsid w:val="00336756"/>
    <w:rsid w:val="003A2696"/>
    <w:rsid w:val="0040487A"/>
    <w:rsid w:val="004F40CF"/>
    <w:rsid w:val="00506BAB"/>
    <w:rsid w:val="0052149C"/>
    <w:rsid w:val="00524AF6"/>
    <w:rsid w:val="005A3554"/>
    <w:rsid w:val="005D06CC"/>
    <w:rsid w:val="006175BC"/>
    <w:rsid w:val="00622027"/>
    <w:rsid w:val="00652505"/>
    <w:rsid w:val="006846D1"/>
    <w:rsid w:val="00692F73"/>
    <w:rsid w:val="006D2873"/>
    <w:rsid w:val="00715E56"/>
    <w:rsid w:val="00723779"/>
    <w:rsid w:val="0076113A"/>
    <w:rsid w:val="00794C16"/>
    <w:rsid w:val="007F0293"/>
    <w:rsid w:val="008430DD"/>
    <w:rsid w:val="00853CBC"/>
    <w:rsid w:val="008A1A99"/>
    <w:rsid w:val="00A102C4"/>
    <w:rsid w:val="00A27BE2"/>
    <w:rsid w:val="00BF5049"/>
    <w:rsid w:val="00C26F2A"/>
    <w:rsid w:val="00CB08EC"/>
    <w:rsid w:val="00D0576A"/>
    <w:rsid w:val="00D40B52"/>
    <w:rsid w:val="00D628F3"/>
    <w:rsid w:val="00D743DD"/>
    <w:rsid w:val="00D74BE9"/>
    <w:rsid w:val="00DD7438"/>
    <w:rsid w:val="00E93AB5"/>
    <w:rsid w:val="00EF634A"/>
    <w:rsid w:val="00F252DD"/>
    <w:rsid w:val="00FC088E"/>
    <w:rsid w:val="00FC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A102C4"/>
  </w:style>
  <w:style w:type="character" w:customStyle="1" w:styleId="l7">
    <w:name w:val="l7"/>
    <w:basedOn w:val="Fontepargpadro"/>
    <w:rsid w:val="00A102C4"/>
  </w:style>
  <w:style w:type="character" w:customStyle="1" w:styleId="l8">
    <w:name w:val="l8"/>
    <w:basedOn w:val="Fontepargpadro"/>
    <w:rsid w:val="00A102C4"/>
  </w:style>
  <w:style w:type="character" w:customStyle="1" w:styleId="l6">
    <w:name w:val="l6"/>
    <w:basedOn w:val="Fontepargpadro"/>
    <w:rsid w:val="00A102C4"/>
  </w:style>
  <w:style w:type="character" w:customStyle="1" w:styleId="l11">
    <w:name w:val="l11"/>
    <w:basedOn w:val="Fontepargpadro"/>
    <w:rsid w:val="00A102C4"/>
  </w:style>
  <w:style w:type="character" w:customStyle="1" w:styleId="l9">
    <w:name w:val="l9"/>
    <w:basedOn w:val="Fontepargpadro"/>
    <w:rsid w:val="00A102C4"/>
  </w:style>
  <w:style w:type="character" w:customStyle="1" w:styleId="l10">
    <w:name w:val="l10"/>
    <w:basedOn w:val="Fontepargpadro"/>
    <w:rsid w:val="00A102C4"/>
  </w:style>
  <w:style w:type="paragraph" w:styleId="Textodebalo">
    <w:name w:val="Balloon Text"/>
    <w:basedOn w:val="Normal"/>
    <w:link w:val="TextodebaloChar"/>
    <w:uiPriority w:val="99"/>
    <w:semiHidden/>
    <w:unhideWhenUsed/>
    <w:rsid w:val="00A102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2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46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F63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634A"/>
  </w:style>
  <w:style w:type="paragraph" w:styleId="Rodap">
    <w:name w:val="footer"/>
    <w:basedOn w:val="Normal"/>
    <w:link w:val="RodapChar"/>
    <w:uiPriority w:val="99"/>
    <w:semiHidden/>
    <w:unhideWhenUsed/>
    <w:rsid w:val="00EF63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F634A"/>
  </w:style>
  <w:style w:type="paragraph" w:styleId="SemEspaamento">
    <w:name w:val="No Spacing"/>
    <w:link w:val="SemEspaamentoChar"/>
    <w:uiPriority w:val="1"/>
    <w:qFormat/>
    <w:rsid w:val="00EF634A"/>
    <w:pPr>
      <w:ind w:left="0"/>
      <w:jc w:val="left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F63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4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5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0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9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5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2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1560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 Engenharia</dc:creator>
  <cp:keywords/>
  <dc:description/>
  <cp:lastModifiedBy>ATP Engenharia</cp:lastModifiedBy>
  <cp:revision>15</cp:revision>
  <dcterms:created xsi:type="dcterms:W3CDTF">2013-08-13T12:07:00Z</dcterms:created>
  <dcterms:modified xsi:type="dcterms:W3CDTF">2013-08-14T12:36:00Z</dcterms:modified>
</cp:coreProperties>
</file>